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22" w:rsidRDefault="00B25B22">
      <w:pPr>
        <w:pStyle w:val="Standard"/>
        <w:spacing w:line="100" w:lineRule="atLeast"/>
      </w:pPr>
      <w:bookmarkStart w:id="0" w:name="_GoBack"/>
      <w:bookmarkEnd w:id="0"/>
    </w:p>
    <w:tbl>
      <w:tblPr>
        <w:tblW w:w="9352" w:type="dxa"/>
        <w:tblInd w:w="-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2"/>
      </w:tblGrid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Vysoká škola: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Univerzita sv. Cyrila a Metoda v Trnave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Fakulta: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Inštitút fyzioterapie, balneológie a liečebnej rehabilitácie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Stupeň štúdia: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prvý, denná forma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Názov predmetu:  Fyzika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biofyzika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Skratka predmetu: KRA/Re001/16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Rok štúdia: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prvý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Semester: zimný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Počet kreditov: 2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Povinný predmet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Metóda: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Prednášky / Seminár                  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Rozsah výučby: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hod./1 hod  týždenne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B25B22" w:rsidRDefault="00B22E4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Vzdelávacia činnosť sa uskutočňuje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prezenčnou metódou  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Podmieňujúce predmety (nadväznosť, prerekvizity):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Podmienky na absolvovanie predmetu: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Priebežné hodnotenie:  účasť, aktivita   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Záverečné hodnotenie:  test /skúška/  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Hodnotenie požadovaných vedomostí: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Záverečné hodnotenie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udelené na základe absolvovania didaktického testu v písomnej forme. Pre úspešné absolvovanie skúšky musí študent získať minimálne 75% z maximálneho počtu bodov v teste -viď.tabuľka.</w:t>
            </w:r>
          </w:p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1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1302"/>
              <w:gridCol w:w="1302"/>
              <w:gridCol w:w="1303"/>
              <w:gridCol w:w="1302"/>
              <w:gridCol w:w="1302"/>
              <w:gridCol w:w="1311"/>
            </w:tblGrid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Hodnotenie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Fx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Podiel v %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100 - 95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94 - 90</w:t>
                  </w:r>
                </w:p>
              </w:tc>
              <w:tc>
                <w:tcPr>
                  <w:tcW w:w="13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89 - 85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84 - 80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79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- 75</w:t>
                  </w:r>
                </w:p>
              </w:tc>
              <w:tc>
                <w:tcPr>
                  <w:tcW w:w="13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74 - 0</w:t>
                  </w:r>
                </w:p>
              </w:tc>
            </w:tr>
          </w:tbl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Podmienky absolvovania predmetu a hodnotenie výsledkov študenta  sa riadi Študijným poriadkom UCM. Úspešné absolvovanie predmetu je podmienené účasťou na prednáškach (povolené max. 3 absencie bez udania dôvodu t.j. 12 vyučovacích hodín).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ípade individuálneho študijného plánu je nutná účasť na prednáškach minimálne 50%  (pozri Študijný poriadok UCM §13)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Kľúčové slová: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Bunka, biologická membrána, difúzia, aktívny trasport, membránový potenciál, deformácia účinkom sily, rovnováha na páke,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svalový stroj, zákony hydrodynamiky, viskozita, gradient rýchlosti, tlak, práca a výkon, stavova rovnica plynu, dýchací objem, frekvencia, sluchové pole, fotón, optická mohutnosť šošovky, akomodácia oka. Elementárne častice, interakcia, vlnové vlastnosti 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astíc, fotón, atóm, jadro atómu, nukleón, väzbová energia, energia elektrónu, rádiaktivita, rádioaktívne žiarenie, umelá rádioaktivita, izotop, urýchľovač častíc, RTG žiarenie, rentgenka, poločas premeny, biologický účinok žiarenia, radiačná trapia, G-M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čítač, detekcia žiarenia, aktivita žiariča, kerma, dávkový ekvivalent.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Anotácia predmetu: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Cieľom predmetu je poskytnúť študentom informácie o základných princípoch a zákonoch fyziky ktoré popisujú  mechanizmy biologických procesov a ktoré sa uplatňujú 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práci s pacientom a používanou prístrojovou technikou. Informovať študentov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vlastnostiach základných elementárnych častíc a zákonoch mikrosveta. Zoznámiť študentov s  hlavnými zdrojmi a druhmi žiarenia, s princípom činnosti detektorov žiarenia, rentgenk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 princípmi modernej RTG diagnostiky. Popísať účinky rôznych druhov žiarenia na ľudský organizmus a spôsoby liečby ochorení s využitím rádionuklidov.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Stručná osnova predmetu: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Výučba je rozdelená na 12 týždňov po 4 hodiny – celkom 48 hodín počas semestra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Tématické celky: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 Predmet biofyziky, štruktúra zloženie a funkcia bunky, biopolyméry v bunke.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 Biologická membrána – štruktúra, funkcia. Difúzia, osmóza, zákony pasívneho transportu, molekulárno-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kinetický transport,. Aktívny transport. Membrá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a akčný potenciál.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 Biofyzika tkanív, cievneho sytému, dýchania, zraku a počutia. Aplikácia základných fyz. zákonov.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 Hmota a jej interakcie-kvantové vlastnosti častíc, štruktúra a vlastnosti atómu, exitácia a ionizácia atómu.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Rádioaktivita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ionizujúce žiarenie – prirodzená a umelá rádioaktivita, poločas rozpadu, RTG žiarenie,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jadrové reakcie, interakcia žiarenia s hmotou, urýchľovače.</w:t>
            </w:r>
          </w:p>
          <w:p w:rsidR="00B25B22" w:rsidRDefault="00B22E4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 Detekcia ionizujúceho žiarenia – detektory, dozimetrické veličiny a jednotky.</w:t>
            </w:r>
          </w:p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B22" w:rsidRDefault="00B22E44">
            <w:pPr>
              <w:pStyle w:val="Standard"/>
              <w:widowControl w:val="0"/>
              <w:spacing w:line="100" w:lineRule="atLeast"/>
              <w:ind w:left="360" w:right="4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Harmonogram výučby</w:t>
            </w:r>
          </w:p>
          <w:p w:rsidR="00B25B22" w:rsidRDefault="00B25B22">
            <w:pPr>
              <w:pStyle w:val="Standard"/>
              <w:widowControl w:val="0"/>
              <w:spacing w:line="100" w:lineRule="atLeast"/>
              <w:ind w:left="360" w:right="4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1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8364"/>
            </w:tblGrid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Týždeň</w:t>
                  </w:r>
                </w:p>
              </w:tc>
              <w:tc>
                <w:tcPr>
                  <w:tcW w:w="8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Tématický celok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Predmet biofyziky. Funkcia a štruktúra bunky, chemické zloženie a biopolyméry v bunke.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Biologická membrána, funkcia, zloženie. Difúzia a osmóza. Aktívny transport. Sodíkovo-draslíková pumpa. Membránový potenciál. Akčný potenciál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 jeho šírenie.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Tkanivá- mechanické vlastnosti, deformácie, Hookov zákon, tekuté biomateriály, viskozita, elektrické vlastnosti tkanív. Kostra, svaly-rovnováha na páke, typy pák v ľudskom tele, štruktúra svalu, kontrakcia svalu.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Cievny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systém-prúdenie kvapalín, rovnica spojitosti, laminárne, turbulentné prúdenie.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Profil prúdenia kvapalín a krvi, elasticita ciev, výpočet práce a výkonu srdca.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Dýchanie – zloženie a tlak vzduchu, Daltonov, Henryho zákon, stavova rovnica plynu.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Dýchacie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bjemy, pľúcna kapacita, odpor dýchacích ciest, očistné mechanizmy pľúc, hlas.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Zvuk – vlastnosti, rýchlosť zvuku, frekvencia a perióda-výpočty, intenzita zvuku, decibel.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Prah bolesti, prah počutia, zloženie ucha, funkcia jeho častí, receptory,  teória po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čutia.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Optický systém oka. Dioptria. Vznik obrazu. Zobrazovacia rovnica šošovky. Stavba oka. Očné vady a ich korekcia. Farebné vnímanie, receptory. Binokulárne videnie.Poločas rozpadu, fyzikálny, biologický, jadrové reakcie, zákony zachovania.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Elementárne častice, základné druhy interakcií, kvantové a vlnové vlastnosti častíc.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Atóm , modely atómu, štruktúra a vlastnosti atómu, nuklid, izotop.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Stavy elektrónov v atóme, energetické hladiny, kvantové čísla, spektrum atómu vodíka, exitácia a ioni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zácia atómu. Jadro atómu, hmotnostný schodok, väzbová energia.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Prirodzená a umelá rádioaktivita, žiarenie α, β,γ. Poločas rozpadu, fyzikálny, biologický, jadrové reakcie, zákony zachovania.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Nejadrové  žiarenie, brzdné, charakteristické RTG žiarenie,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princíp rentgenu, RTG diagnostika.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Lineárne urýchľovače, princíp činnosti, betatrón, cyklotrón, využitie v medicínskej praxi.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Interakcia jadrového žiarenia s hmotou, interakcia neutrónov, interakcia žiarenia α, β,γ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 hmotou.</w:t>
                  </w:r>
                </w:p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Interakcia RTG žiarenia 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hmotou, tvorba elektrón – pozitrónového páru, fotoelektrický jav, Comptonov rozptyl.</w:t>
                  </w:r>
                </w:p>
              </w:tc>
            </w:tr>
            <w:tr w:rsidR="00B25B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6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25B22" w:rsidRDefault="00B22E44">
                  <w:pPr>
                    <w:pStyle w:val="TableConten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Detektekcia ionizujúceho žiarenia- detektory, druhy, popis, princíp činnosti, využitie. Hlavné dozimetrické veličiny a jednotky, kerma, dávkový ekvivalent, gray,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sievert.</w:t>
                  </w:r>
                </w:p>
              </w:tc>
            </w:tr>
          </w:tbl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B22" w:rsidRDefault="00B25B22">
            <w:pPr>
              <w:pStyle w:val="Standard"/>
              <w:widowControl w:val="0"/>
              <w:spacing w:line="100" w:lineRule="atLeast"/>
              <w:ind w:right="431"/>
              <w:jc w:val="both"/>
            </w:pP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Odporúčaná literatúra: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BABINCOVÁ. M., NOVOTNÝ, J.: Úvod do lekárskej biofyziky. Trnava : UCM, 2008. 105 s.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ISBN-978-80-8105-056-5.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ŠIKUROVÁ, L., BABINCOVÁ, M., WACZULÍKOVÁ, I.: Špeciálne praktikum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experimentálnych metód biofyziky,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Bratislava, UK, 2008. 130 s. ISBN-978-80-89186-27-3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ŠAJTER et al.: Biofyzika, biochémia a rádiológia, Martin, Osveta, 2001, 276 s., ISBN 80-201-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0046-6.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HRAZDÍRA, I.: Úvod do obecné a lékařské biofyziky. Brno : LF MU. 1999. 274 s. ISBN-10: 80-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210-1822-4.</w:t>
            </w:r>
          </w:p>
          <w:p w:rsidR="00B25B22" w:rsidRDefault="00B22E44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KUKUROVÁ, E., KRÁĽOVÁ, E. et al.: Lekárska fyzika a biofyzika. Bratislava: UK, 2006.</w:t>
            </w:r>
          </w:p>
          <w:p w:rsidR="00B25B22" w:rsidRDefault="00B22E44">
            <w:pPr>
              <w:pStyle w:val="Standard"/>
              <w:ind w:right="4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s. ISBN 80-223-1824-8.</w:t>
            </w: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BABINCOVÁ, M., NOVOTNÝ, J.: Úvod do lekárskej biofyziky. Trnava : UCM, 2008. 105 s. ISBN-978-80-8105-056-5.</w:t>
            </w:r>
          </w:p>
          <w:p w:rsidR="00B25B22" w:rsidRDefault="00B22E44">
            <w:pPr>
              <w:pStyle w:val="Standard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ŠAJTER et al.: Biofyzika, biochémia a</w:t>
            </w: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 xml:space="preserve"> rádiológia, Martin, Osveta, 2001, 276 s., ISBN 80-201-0046-6.</w:t>
            </w:r>
          </w:p>
          <w:p w:rsidR="00B25B22" w:rsidRDefault="00B22E44">
            <w:pPr>
              <w:pStyle w:val="Standard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PODZIMEK F. : Radiologická fyzika – Příklady a otázky 2012</w:t>
            </w:r>
          </w:p>
          <w:p w:rsidR="00B25B22" w:rsidRDefault="00B22E44">
            <w:pPr>
              <w:pStyle w:val="Standard"/>
              <w:spacing w:after="200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, 'Times New R" w:hAnsi="Times New Roman" w:cs="Times New Roman"/>
                <w:sz w:val="20"/>
                <w:szCs w:val="20"/>
              </w:rPr>
              <w:t>KUKUROVÁ, E., KRÁĽOVÁ, E. et al.: Lekárska fyzika a biofyzika. Bratislava: UK, 2006. 264 s. ISBN 80-223-1824-8.</w:t>
            </w:r>
          </w:p>
          <w:p w:rsidR="00B25B22" w:rsidRDefault="00B25B22">
            <w:pPr>
              <w:pStyle w:val="Standard"/>
              <w:spacing w:after="200"/>
              <w:ind w:right="431"/>
              <w:jc w:val="both"/>
              <w:rPr>
                <w:rFonts w:ascii="Times New Roman" w:eastAsia="TimesNewRomanPSMT, 'Times New R" w:hAnsi="Times New Roman" w:cs="Times New Roman"/>
                <w:sz w:val="20"/>
                <w:szCs w:val="20"/>
              </w:rPr>
            </w:pP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spacing w:line="100" w:lineRule="atLeast"/>
              <w:ind w:right="43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Garant predmetu: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MUDr. Jiří Neuwirth, CSc., MBA</w:t>
            </w:r>
          </w:p>
        </w:tc>
      </w:tr>
      <w:tr w:rsidR="00B25B22">
        <w:tblPrEx>
          <w:tblCellMar>
            <w:top w:w="0" w:type="dxa"/>
            <w:bottom w:w="0" w:type="dxa"/>
          </w:tblCellMar>
        </w:tblPrEx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22" w:rsidRDefault="00B22E44">
            <w:pPr>
              <w:pStyle w:val="Standard"/>
              <w:widowControl w:val="0"/>
              <w:tabs>
                <w:tab w:val="left" w:pos="1530"/>
              </w:tabs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Vyučujúci: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Mgr. Ján Líška</w:t>
            </w:r>
          </w:p>
          <w:p w:rsidR="00B25B22" w:rsidRDefault="00B25B22">
            <w:pPr>
              <w:pStyle w:val="Standard"/>
              <w:widowControl w:val="0"/>
              <w:tabs>
                <w:tab w:val="left" w:pos="1530"/>
              </w:tabs>
              <w:spacing w:line="100" w:lineRule="atLeast"/>
            </w:pPr>
          </w:p>
        </w:tc>
      </w:tr>
    </w:tbl>
    <w:p w:rsidR="00B25B22" w:rsidRDefault="00B25B22">
      <w:pPr>
        <w:pStyle w:val="Standard"/>
        <w:spacing w:line="100" w:lineRule="atLeast"/>
        <w:jc w:val="both"/>
      </w:pPr>
    </w:p>
    <w:p w:rsidR="00B25B22" w:rsidRDefault="00B25B22">
      <w:pPr>
        <w:pStyle w:val="Standard"/>
        <w:spacing w:line="100" w:lineRule="atLeast"/>
        <w:jc w:val="both"/>
      </w:pPr>
    </w:p>
    <w:sectPr w:rsidR="00B25B22">
      <w:headerReference w:type="default" r:id="rId7"/>
      <w:footerReference w:type="default" r:id="rId8"/>
      <w:pgSz w:w="11906" w:h="16838"/>
      <w:pgMar w:top="2516" w:right="1417" w:bottom="1497" w:left="1417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44" w:rsidRDefault="00B22E44">
      <w:pPr>
        <w:spacing w:line="240" w:lineRule="auto"/>
      </w:pPr>
      <w:r>
        <w:separator/>
      </w:r>
    </w:p>
  </w:endnote>
  <w:endnote w:type="continuationSeparator" w:id="0">
    <w:p w:rsidR="00B22E44" w:rsidRDefault="00B22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01" w:rsidRDefault="00B22E44">
    <w:pPr>
      <w:pStyle w:val="Standard"/>
      <w:tabs>
        <w:tab w:val="left" w:pos="1701"/>
        <w:tab w:val="left" w:pos="3544"/>
        <w:tab w:val="left" w:pos="4678"/>
        <w:tab w:val="left" w:pos="7590"/>
      </w:tabs>
      <w:spacing w:line="100" w:lineRule="atLeast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Inštitút fyzioterapie, balneológie a liečebnej rehabilitácie Piešťany, Univerzita sv. Cyrila a Metoda </w:t>
    </w:r>
    <w:r>
      <w:rPr>
        <w:rFonts w:ascii="Times New Roman" w:eastAsia="Times New Roman" w:hAnsi="Times New Roman" w:cs="Times New Roman"/>
        <w:b/>
        <w:sz w:val="18"/>
        <w:szCs w:val="18"/>
      </w:rPr>
      <w:t>v Trnave</w:t>
    </w:r>
  </w:p>
  <w:p w:rsidR="005C2C01" w:rsidRDefault="00B22E44">
    <w:pPr>
      <w:pStyle w:val="Standard"/>
      <w:tabs>
        <w:tab w:val="left" w:pos="1701"/>
        <w:tab w:val="left" w:pos="3544"/>
        <w:tab w:val="left" w:pos="4678"/>
        <w:tab w:val="left" w:pos="7590"/>
      </w:tabs>
      <w:spacing w:line="100" w:lineRule="atLeas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>Adresa: Rázusova 14, 921 01 Piešťany Telefón: 033/7301334</w:t>
    </w:r>
  </w:p>
  <w:p w:rsidR="005C2C01" w:rsidRDefault="00B22E44">
    <w:pPr>
      <w:pStyle w:val="Standard"/>
      <w:tabs>
        <w:tab w:val="center" w:pos="4536"/>
        <w:tab w:val="right" w:pos="9072"/>
      </w:tabs>
      <w:spacing w:line="100" w:lineRule="atLeas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:rsidR="005C2C01" w:rsidRDefault="00B22E44">
    <w:pPr>
      <w:pStyle w:val="Standard"/>
      <w:tabs>
        <w:tab w:val="center" w:pos="4536"/>
        <w:tab w:val="right" w:pos="9072"/>
      </w:tabs>
      <w:spacing w:after="708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44" w:rsidRDefault="00B22E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22E44" w:rsidRDefault="00B22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01" w:rsidRDefault="00B22E44">
    <w:pPr>
      <w:pStyle w:val="Standard"/>
      <w:keepNext/>
      <w:spacing w:line="100" w:lineRule="atLeast"/>
      <w:ind w:left="1416" w:firstLine="707"/>
      <w:jc w:val="center"/>
    </w:pPr>
    <w:r>
      <w:rPr>
        <w:rFonts w:ascii="Times New Roman" w:eastAsia="Times New Roman" w:hAnsi="Times New Roman" w:cs="Times New Roman"/>
        <w:b/>
        <w:smallCaps/>
        <w:color w:val="808080"/>
        <w:sz w:val="18"/>
        <w:szCs w:val="18"/>
      </w:rPr>
      <w:t>INŠTITÚT FYZIOTERAPIE, BALNEOLÓGIE A LIEČEBNEJ REHABILITÁCIE</w:t>
    </w:r>
    <w:r>
      <w:rPr>
        <w:rFonts w:ascii="Times New Roman" w:eastAsia="Times New Roman" w:hAnsi="Times New Roman" w:cs="Times New Roman"/>
        <w:b/>
        <w:smallCaps/>
        <w:noProof/>
        <w:color w:val="808080"/>
        <w:sz w:val="18"/>
        <w:szCs w:val="18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64081</wp:posOffset>
          </wp:positionH>
          <wp:positionV relativeFrom="paragraph">
            <wp:posOffset>-194401</wp:posOffset>
          </wp:positionV>
          <wp:extent cx="929524" cy="973442"/>
          <wp:effectExtent l="0" t="0" r="3926" b="0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524" cy="9734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C2C01" w:rsidRDefault="00B22E44">
    <w:pPr>
      <w:pStyle w:val="Standard"/>
      <w:spacing w:line="100" w:lineRule="atLeas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:rsidR="005C2C01" w:rsidRDefault="00B22E44">
    <w:pPr>
      <w:pStyle w:val="Standard"/>
      <w:spacing w:line="100" w:lineRule="atLeast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SYLABUS PREDMETU ŠP  RÁDIOLOGICKÁ TECHNIKA</w:t>
    </w:r>
  </w:p>
  <w:p w:rsidR="005C2C01" w:rsidRDefault="00B22E44">
    <w:pPr>
      <w:pStyle w:val="Standard"/>
      <w:spacing w:line="100" w:lineRule="atLeast"/>
    </w:pPr>
  </w:p>
  <w:p w:rsidR="005C2C01" w:rsidRDefault="00B22E44">
    <w:pPr>
      <w:pStyle w:val="Standard"/>
      <w:spacing w:line="100" w:lineRule="atLeast"/>
    </w:pPr>
    <w:r>
      <w:rPr>
        <w:noProof/>
        <w:lang w:eastAsia="sk-SK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-63358</wp:posOffset>
          </wp:positionH>
          <wp:positionV relativeFrom="paragraph">
            <wp:posOffset>88203</wp:posOffset>
          </wp:positionV>
          <wp:extent cx="5890317" cy="14758"/>
          <wp:effectExtent l="0" t="0" r="0" b="4292"/>
          <wp:wrapNone/>
          <wp:docPr id="2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0317" cy="14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7BD"/>
    <w:multiLevelType w:val="multilevel"/>
    <w:tmpl w:val="388C9F7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4D5718"/>
    <w:multiLevelType w:val="multilevel"/>
    <w:tmpl w:val="F81276F4"/>
    <w:styleLink w:val="WW8Num2"/>
    <w:lvl w:ilvl="0">
      <w:numFmt w:val="bullet"/>
      <w:lvlText w:val="-"/>
      <w:lvlJc w:val="left"/>
      <w:pPr>
        <w:ind w:left="720" w:firstLine="360"/>
      </w:pPr>
      <w:rPr>
        <w:rFonts w:ascii="Arial" w:hAnsi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abstractNum w:abstractNumId="2" w15:restartNumberingAfterBreak="0">
    <w:nsid w:val="4FBA5881"/>
    <w:multiLevelType w:val="multilevel"/>
    <w:tmpl w:val="3BE2DF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5B22"/>
    <w:rsid w:val="008F47A5"/>
    <w:rsid w:val="00B22E44"/>
    <w:rsid w:val="00B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A5E0-A3D4-49B2-AC9F-9F59EC5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/>
      <w:suppressAutoHyphens/>
      <w:spacing w:line="276" w:lineRule="auto"/>
    </w:pPr>
    <w:rPr>
      <w:rFonts w:ascii="Arial" w:eastAsia="Arial" w:hAnsi="Arial"/>
      <w:sz w:val="22"/>
      <w:szCs w:val="22"/>
    </w:rPr>
  </w:style>
  <w:style w:type="paragraph" w:styleId="Nadpis1">
    <w:name w:val="heading 1"/>
    <w:basedOn w:val="Normlny"/>
    <w:next w:val="Textbody"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Textbody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Textbody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Textbody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Textbody"/>
    <w:pPr>
      <w:keepNext/>
      <w:keepLines/>
      <w:spacing w:before="220" w:after="40" w:line="100" w:lineRule="atLeast"/>
      <w:outlineLvl w:val="4"/>
    </w:pPr>
    <w:rPr>
      <w:b/>
    </w:rPr>
  </w:style>
  <w:style w:type="paragraph" w:styleId="Nadpis6">
    <w:name w:val="heading 6"/>
    <w:basedOn w:val="Normlny"/>
    <w:next w:val="Textbody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zov">
    <w:name w:val="Title"/>
    <w:basedOn w:val="Normlny"/>
    <w:next w:val="Podtitul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itul">
    <w:name w:val="Subtitle"/>
    <w:basedOn w:val="Normlny"/>
    <w:next w:val="Textbody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position w:val="0"/>
      <w:sz w:val="20"/>
      <w:szCs w:val="20"/>
      <w:vertAlign w:val="baseline"/>
    </w:rPr>
  </w:style>
  <w:style w:type="character" w:customStyle="1" w:styleId="WW8Num1z1">
    <w:name w:val="WW8Num1z1"/>
    <w:rPr>
      <w:rFonts w:ascii="Arial" w:hAnsi="Arial" w:cs="Arial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Vulganová</dc:creator>
  <cp:lastModifiedBy>Katarína Vulganová</cp:lastModifiedBy>
  <cp:revision>2</cp:revision>
  <dcterms:created xsi:type="dcterms:W3CDTF">2019-01-11T08:14:00Z</dcterms:created>
  <dcterms:modified xsi:type="dcterms:W3CDTF">2019-01-11T08:14:00Z</dcterms:modified>
</cp:coreProperties>
</file>